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2E91" w14:textId="77777777" w:rsidR="00536ED8" w:rsidRPr="004009D3" w:rsidRDefault="00536ED8" w:rsidP="007C4C42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8C5728" w14:textId="2F393E69" w:rsidR="00C47278" w:rsidRDefault="00C333DE" w:rsidP="007C4C42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SARS-CoV-2 In </w:t>
      </w:r>
      <w:r w:rsidR="00F05FC7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itro </w:t>
      </w:r>
      <w:r w:rsidR="00C14A74">
        <w:rPr>
          <w:rFonts w:ascii="Arial" w:hAnsi="Arial" w:cs="Arial"/>
          <w:b/>
          <w:bCs/>
        </w:rPr>
        <w:t>Anti-viral Compound Testing</w:t>
      </w:r>
      <w:r>
        <w:rPr>
          <w:rFonts w:ascii="Arial" w:hAnsi="Arial" w:cs="Arial"/>
          <w:b/>
          <w:bCs/>
        </w:rPr>
        <w:t xml:space="preserve"> </w:t>
      </w:r>
      <w:r w:rsidR="00C47278" w:rsidRPr="007C4C42">
        <w:rPr>
          <w:rFonts w:ascii="Arial" w:hAnsi="Arial" w:cs="Arial"/>
          <w:b/>
          <w:bCs/>
        </w:rPr>
        <w:t>Service Request</w:t>
      </w:r>
    </w:p>
    <w:p w14:paraId="501FF542" w14:textId="56471655" w:rsidR="00C47278" w:rsidRPr="007C4C42" w:rsidRDefault="00C47278" w:rsidP="004009D3">
      <w:pPr>
        <w:framePr w:hSpace="180" w:wrap="around" w:vAnchor="text" w:hAnchor="text" w:y="1"/>
        <w:pBdr>
          <w:top w:val="single" w:sz="4" w:space="1" w:color="auto"/>
        </w:pBdr>
        <w:tabs>
          <w:tab w:val="left" w:pos="1260"/>
        </w:tabs>
        <w:adjustRightInd w:val="0"/>
        <w:snapToGrid w:val="0"/>
        <w:spacing w:before="8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Date: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9CF9EE" w14:textId="6A458677" w:rsidR="00C47278" w:rsidRPr="007C4C42" w:rsidRDefault="00C47278" w:rsidP="004009D3">
      <w:pPr>
        <w:framePr w:hSpace="180" w:wrap="around" w:vAnchor="text" w:hAnchor="text" w:y="1"/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7C4C42">
        <w:rPr>
          <w:rFonts w:ascii="Arial" w:hAnsi="Arial" w:cs="Arial"/>
          <w:b/>
          <w:bCs/>
          <w:sz w:val="20"/>
          <w:szCs w:val="20"/>
        </w:rPr>
        <w:t>Requestor</w:t>
      </w:r>
      <w:r w:rsidR="00AB77A5">
        <w:rPr>
          <w:rFonts w:ascii="Arial" w:hAnsi="Arial" w:cs="Arial"/>
          <w:b/>
          <w:bCs/>
          <w:sz w:val="20"/>
          <w:szCs w:val="20"/>
        </w:rPr>
        <w:t xml:space="preserve"> (lab point of contact)</w:t>
      </w:r>
      <w:r w:rsidRPr="007C4C42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3E488385" w14:textId="13620AB5" w:rsidR="00C47278" w:rsidRPr="007C4C42" w:rsidRDefault="00C47278" w:rsidP="004009D3">
      <w:pPr>
        <w:framePr w:hSpace="180" w:wrap="around" w:vAnchor="text" w:hAnchor="text" w:y="1"/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Email: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333BBF56" w14:textId="77777777" w:rsidR="007C4C42" w:rsidRPr="00576B57" w:rsidRDefault="007C4C42" w:rsidP="004009D3">
      <w:pPr>
        <w:framePr w:hSpace="180" w:wrap="around" w:vAnchor="text" w:hAnchor="text" w:y="1"/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10"/>
          <w:szCs w:val="10"/>
        </w:rPr>
      </w:pPr>
    </w:p>
    <w:p w14:paraId="1335809C" w14:textId="7365F125" w:rsidR="00C47278" w:rsidRDefault="00C47278" w:rsidP="004009D3">
      <w:pPr>
        <w:framePr w:hSpace="180" w:wrap="around" w:vAnchor="text" w:hAnchor="text" w:y="1"/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C4C42">
        <w:rPr>
          <w:rFonts w:ascii="Arial" w:hAnsi="Arial" w:cs="Arial"/>
          <w:b/>
          <w:bCs/>
          <w:sz w:val="20"/>
          <w:szCs w:val="20"/>
        </w:rPr>
        <w:t xml:space="preserve">Laboratory PI: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362460" w14:textId="7AAB589F" w:rsidR="007C4C42" w:rsidRDefault="007C4C42" w:rsidP="004009D3">
      <w:pPr>
        <w:framePr w:hSpace="180" w:wrap="around" w:vAnchor="text" w:hAnchor="text" w:y="1"/>
        <w:pBdr>
          <w:bottom w:val="single" w:sz="4" w:space="1" w:color="auto"/>
        </w:pBdr>
        <w:tabs>
          <w:tab w:val="left" w:pos="1260"/>
        </w:tabs>
        <w:adjustRightInd w:val="0"/>
        <w:snapToGrid w:val="0"/>
        <w:spacing w:before="40" w:after="4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Duke Fund Code</w:t>
      </w:r>
      <w:r w:rsidRPr="007C4C42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5277B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7B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77BE">
        <w:rPr>
          <w:rFonts w:ascii="Arial" w:hAnsi="Arial" w:cs="Arial"/>
          <w:sz w:val="20"/>
          <w:szCs w:val="20"/>
          <w:u w:val="single"/>
        </w:rPr>
      </w:r>
      <w:r w:rsidRPr="005277BE">
        <w:rPr>
          <w:rFonts w:ascii="Arial" w:hAnsi="Arial" w:cs="Arial"/>
          <w:sz w:val="20"/>
          <w:szCs w:val="20"/>
          <w:u w:val="single"/>
        </w:rPr>
        <w:fldChar w:fldCharType="separate"/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="005277BE">
        <w:rPr>
          <w:rFonts w:ascii="Arial" w:hAnsi="Arial" w:cs="Arial"/>
          <w:sz w:val="20"/>
          <w:szCs w:val="20"/>
          <w:u w:val="single"/>
        </w:rPr>
        <w:t> </w:t>
      </w:r>
      <w:r w:rsidRPr="005277B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A744791" w14:textId="683DCA4F" w:rsidR="00C14A74" w:rsidRPr="002E2D4B" w:rsidRDefault="00C14A74" w:rsidP="00C14A74">
      <w:pPr>
        <w:adjustRightInd w:val="0"/>
        <w:snapToGrid w:val="0"/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 w:rsidRPr="002E2D4B">
        <w:rPr>
          <w:rFonts w:ascii="Arial" w:hAnsi="Arial" w:cs="Arial"/>
          <w:b/>
          <w:sz w:val="20"/>
          <w:szCs w:val="20"/>
        </w:rPr>
        <w:t>Overview:</w:t>
      </w:r>
    </w:p>
    <w:p w14:paraId="466BC9F7" w14:textId="77777777" w:rsidR="00160CC2" w:rsidRDefault="00203EB5" w:rsidP="00C14A74">
      <w:pPr>
        <w:adjustRightInd w:val="0"/>
        <w:snapToGrid w:val="0"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Due to the </w:t>
      </w:r>
      <w:r>
        <w:rPr>
          <w:rFonts w:ascii="Arial" w:hAnsi="Arial" w:cs="Arial"/>
          <w:sz w:val="20"/>
          <w:szCs w:val="20"/>
        </w:rPr>
        <w:t>world-wide COVID-19 pandemic and urgent public health crisis</w:t>
      </w:r>
      <w:r w:rsidRPr="002E2D4B">
        <w:rPr>
          <w:rFonts w:ascii="Arial" w:hAnsi="Arial" w:cs="Arial"/>
          <w:sz w:val="20"/>
          <w:szCs w:val="20"/>
        </w:rPr>
        <w:t>,</w:t>
      </w:r>
      <w:r w:rsidR="00C14A74" w:rsidRPr="002E2D4B">
        <w:rPr>
          <w:rFonts w:ascii="Arial" w:hAnsi="Arial" w:cs="Arial"/>
          <w:sz w:val="20"/>
          <w:szCs w:val="20"/>
        </w:rPr>
        <w:t xml:space="preserve"> the need for testing to find efficacious antiviral compounds is imperative. </w:t>
      </w:r>
      <w:r>
        <w:rPr>
          <w:rFonts w:ascii="Arial" w:hAnsi="Arial" w:cs="Arial"/>
          <w:sz w:val="20"/>
          <w:szCs w:val="20"/>
        </w:rPr>
        <w:t xml:space="preserve"> </w:t>
      </w:r>
      <w:r w:rsidR="00C14A74" w:rsidRPr="002E2D4B">
        <w:rPr>
          <w:rFonts w:ascii="Arial" w:hAnsi="Arial" w:cs="Arial"/>
          <w:sz w:val="20"/>
          <w:szCs w:val="20"/>
        </w:rPr>
        <w:t xml:space="preserve">To </w:t>
      </w:r>
      <w:r w:rsidR="006D5B8C">
        <w:rPr>
          <w:rFonts w:ascii="Arial" w:hAnsi="Arial" w:cs="Arial"/>
          <w:sz w:val="20"/>
          <w:szCs w:val="20"/>
        </w:rPr>
        <w:t>address this issue</w:t>
      </w:r>
      <w:r w:rsidR="00C14A74" w:rsidRPr="002E2D4B">
        <w:rPr>
          <w:rFonts w:ascii="Arial" w:hAnsi="Arial" w:cs="Arial"/>
          <w:sz w:val="20"/>
          <w:szCs w:val="20"/>
        </w:rPr>
        <w:t xml:space="preserve">, the </w:t>
      </w:r>
      <w:r w:rsidR="007F7E61">
        <w:rPr>
          <w:rFonts w:ascii="Arial" w:hAnsi="Arial" w:cs="Arial"/>
          <w:sz w:val="20"/>
          <w:szCs w:val="20"/>
        </w:rPr>
        <w:t xml:space="preserve">Duke RBL </w:t>
      </w:r>
      <w:r w:rsidR="00C14A74" w:rsidRPr="002E2D4B">
        <w:rPr>
          <w:rFonts w:ascii="Arial" w:hAnsi="Arial" w:cs="Arial"/>
          <w:sz w:val="20"/>
          <w:szCs w:val="20"/>
        </w:rPr>
        <w:t xml:space="preserve">Virology Unit can assay </w:t>
      </w:r>
      <w:r w:rsidR="00C14A74" w:rsidRPr="002E2D4B">
        <w:rPr>
          <w:rFonts w:ascii="Arial" w:hAnsi="Arial" w:cs="Arial"/>
          <w:i/>
          <w:sz w:val="20"/>
          <w:szCs w:val="20"/>
        </w:rPr>
        <w:t>in vitro</w:t>
      </w:r>
      <w:r w:rsidR="00C14A74" w:rsidRPr="002E2D4B">
        <w:rPr>
          <w:rFonts w:ascii="Arial" w:hAnsi="Arial" w:cs="Arial"/>
          <w:sz w:val="20"/>
          <w:szCs w:val="20"/>
        </w:rPr>
        <w:t xml:space="preserve"> antiviral effects of submitted compounds</w:t>
      </w:r>
      <w:r w:rsidR="007F7E61">
        <w:rPr>
          <w:rFonts w:ascii="Arial" w:hAnsi="Arial" w:cs="Arial"/>
          <w:sz w:val="20"/>
          <w:szCs w:val="20"/>
        </w:rPr>
        <w:t xml:space="preserve"> under BSL3 containment</w:t>
      </w:r>
      <w:r w:rsidR="006D5B8C">
        <w:rPr>
          <w:rFonts w:ascii="Arial" w:hAnsi="Arial" w:cs="Arial"/>
          <w:sz w:val="20"/>
          <w:szCs w:val="20"/>
        </w:rPr>
        <w:t xml:space="preserve"> as a service</w:t>
      </w:r>
      <w:r w:rsidR="00C14A74" w:rsidRPr="002E2D4B">
        <w:rPr>
          <w:rFonts w:ascii="Arial" w:hAnsi="Arial" w:cs="Arial"/>
          <w:sz w:val="20"/>
          <w:szCs w:val="20"/>
        </w:rPr>
        <w:t xml:space="preserve">. </w:t>
      </w:r>
      <w:r w:rsidR="007F7E61">
        <w:rPr>
          <w:rFonts w:ascii="Arial" w:hAnsi="Arial" w:cs="Arial"/>
          <w:sz w:val="20"/>
          <w:szCs w:val="20"/>
        </w:rPr>
        <w:t xml:space="preserve"> </w:t>
      </w:r>
      <w:r w:rsidR="00C14A74" w:rsidRPr="002E2D4B">
        <w:rPr>
          <w:rFonts w:ascii="Arial" w:hAnsi="Arial" w:cs="Arial"/>
          <w:sz w:val="20"/>
          <w:szCs w:val="20"/>
        </w:rPr>
        <w:t xml:space="preserve">Briefly, cells lines of interest </w:t>
      </w:r>
      <w:r w:rsidR="007F7E61">
        <w:rPr>
          <w:rFonts w:ascii="Arial" w:hAnsi="Arial" w:cs="Arial"/>
          <w:sz w:val="20"/>
          <w:szCs w:val="20"/>
        </w:rPr>
        <w:t>are</w:t>
      </w:r>
      <w:r w:rsidR="00C14A74" w:rsidRPr="002E2D4B">
        <w:rPr>
          <w:rFonts w:ascii="Arial" w:hAnsi="Arial" w:cs="Arial"/>
          <w:sz w:val="20"/>
          <w:szCs w:val="20"/>
        </w:rPr>
        <w:t xml:space="preserve"> treated in a dose-response fashion with dosage and duration determined by the requester. </w:t>
      </w:r>
      <w:r w:rsidR="007F7E61">
        <w:rPr>
          <w:rFonts w:ascii="Arial" w:hAnsi="Arial" w:cs="Arial"/>
          <w:sz w:val="20"/>
          <w:szCs w:val="20"/>
        </w:rPr>
        <w:t xml:space="preserve"> </w:t>
      </w:r>
      <w:r w:rsidR="00C14A74" w:rsidRPr="002E2D4B">
        <w:rPr>
          <w:rFonts w:ascii="Arial" w:hAnsi="Arial" w:cs="Arial"/>
          <w:sz w:val="20"/>
          <w:szCs w:val="20"/>
        </w:rPr>
        <w:t xml:space="preserve">These cells </w:t>
      </w:r>
      <w:r w:rsidR="007F7E61">
        <w:rPr>
          <w:rFonts w:ascii="Arial" w:hAnsi="Arial" w:cs="Arial"/>
          <w:sz w:val="20"/>
          <w:szCs w:val="20"/>
        </w:rPr>
        <w:t>are then</w:t>
      </w:r>
      <w:r w:rsidR="00C14A74" w:rsidRPr="002E2D4B">
        <w:rPr>
          <w:rFonts w:ascii="Arial" w:hAnsi="Arial" w:cs="Arial"/>
          <w:sz w:val="20"/>
          <w:szCs w:val="20"/>
        </w:rPr>
        <w:t xml:space="preserve"> infected with a multiplicity of infection (MOI) of SARS-CoV-2 (strain USA-WA1/2020) determined by the requester. Supernatant (100</w:t>
      </w:r>
      <w:r w:rsidR="007F7E61">
        <w:rPr>
          <w:rFonts w:ascii="Arial" w:hAnsi="Arial" w:cs="Arial"/>
          <w:sz w:val="20"/>
          <w:szCs w:val="20"/>
        </w:rPr>
        <w:t xml:space="preserve"> </w:t>
      </w:r>
      <w:r w:rsidR="00C14A74" w:rsidRPr="002E2D4B">
        <w:rPr>
          <w:rFonts w:ascii="Arial" w:hAnsi="Arial" w:cs="Arial"/>
          <w:sz w:val="20"/>
          <w:szCs w:val="20"/>
        </w:rPr>
        <w:t xml:space="preserve">µL) </w:t>
      </w:r>
      <w:r w:rsidR="007F7E61">
        <w:rPr>
          <w:rFonts w:ascii="Arial" w:hAnsi="Arial" w:cs="Arial"/>
          <w:sz w:val="20"/>
          <w:szCs w:val="20"/>
        </w:rPr>
        <w:t>is</w:t>
      </w:r>
      <w:r w:rsidR="00C14A74" w:rsidRPr="002E2D4B">
        <w:rPr>
          <w:rFonts w:ascii="Arial" w:hAnsi="Arial" w:cs="Arial"/>
          <w:sz w:val="20"/>
          <w:szCs w:val="20"/>
        </w:rPr>
        <w:t xml:space="preserve"> collected at a time determined by the requester and </w:t>
      </w:r>
      <w:proofErr w:type="spellStart"/>
      <w:r w:rsidR="00C14A74" w:rsidRPr="002E2D4B">
        <w:rPr>
          <w:rFonts w:ascii="Arial" w:hAnsi="Arial" w:cs="Arial"/>
          <w:sz w:val="20"/>
          <w:szCs w:val="20"/>
        </w:rPr>
        <w:t>titered</w:t>
      </w:r>
      <w:proofErr w:type="spellEnd"/>
      <w:r w:rsidR="00C14A74" w:rsidRPr="002E2D4B">
        <w:rPr>
          <w:rFonts w:ascii="Arial" w:hAnsi="Arial" w:cs="Arial"/>
          <w:sz w:val="20"/>
          <w:szCs w:val="20"/>
        </w:rPr>
        <w:t xml:space="preserve"> using 50% Tissue Culture Infectious Dose assay (TCID</w:t>
      </w:r>
      <w:r w:rsidR="00C14A74" w:rsidRPr="002E2D4B">
        <w:rPr>
          <w:rFonts w:ascii="Arial" w:hAnsi="Arial" w:cs="Arial"/>
          <w:sz w:val="20"/>
          <w:szCs w:val="20"/>
          <w:vertAlign w:val="subscript"/>
        </w:rPr>
        <w:t>50</w:t>
      </w:r>
      <w:r w:rsidR="00C14A74" w:rsidRPr="002E2D4B">
        <w:rPr>
          <w:rFonts w:ascii="Arial" w:hAnsi="Arial" w:cs="Arial"/>
          <w:sz w:val="20"/>
          <w:szCs w:val="20"/>
        </w:rPr>
        <w:t xml:space="preserve">). </w:t>
      </w:r>
      <w:r w:rsidR="007F7E61">
        <w:rPr>
          <w:rFonts w:ascii="Arial" w:hAnsi="Arial" w:cs="Arial"/>
          <w:sz w:val="20"/>
          <w:szCs w:val="20"/>
        </w:rPr>
        <w:t xml:space="preserve"> </w:t>
      </w:r>
      <w:r w:rsidR="00C14A74" w:rsidRPr="002E2D4B">
        <w:rPr>
          <w:rFonts w:ascii="Arial" w:hAnsi="Arial" w:cs="Arial"/>
          <w:sz w:val="20"/>
          <w:szCs w:val="20"/>
        </w:rPr>
        <w:t xml:space="preserve">A data summary detailing experimental details, methods, QC/QA, and raw titer values will be released at the conclusion of testing. </w:t>
      </w:r>
      <w:r w:rsidR="007F7E61">
        <w:rPr>
          <w:rFonts w:ascii="Arial" w:hAnsi="Arial" w:cs="Arial"/>
          <w:sz w:val="20"/>
          <w:szCs w:val="20"/>
        </w:rPr>
        <w:t xml:space="preserve"> </w:t>
      </w:r>
    </w:p>
    <w:p w14:paraId="5540A62A" w14:textId="6818E7A9" w:rsidR="00F05FC7" w:rsidRDefault="005D16B0" w:rsidP="00160CC2">
      <w:pPr>
        <w:adjustRightInd w:val="0"/>
        <w:snapToGrid w:val="0"/>
        <w:spacing w:before="40" w:after="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Containment use fees, PPE, staff labor time and assay consumables will be invoiced via </w:t>
      </w:r>
      <w:proofErr w:type="spellStart"/>
      <w:r>
        <w:rPr>
          <w:rFonts w:ascii="Arial" w:hAnsi="Arial" w:cs="Arial"/>
          <w:sz w:val="20"/>
          <w:szCs w:val="20"/>
        </w:rPr>
        <w:t>CoreResearch@duke</w:t>
      </w:r>
      <w:proofErr w:type="spellEnd"/>
      <w:r>
        <w:rPr>
          <w:rFonts w:ascii="Arial" w:hAnsi="Arial" w:cs="Arial"/>
          <w:sz w:val="20"/>
          <w:szCs w:val="20"/>
        </w:rPr>
        <w:t xml:space="preserve">.  Due to the high demand we are unable to provide individualized cost estimates. </w:t>
      </w:r>
      <w:r w:rsidR="009B47FB">
        <w:rPr>
          <w:rFonts w:ascii="Arial" w:hAnsi="Arial" w:cs="Arial"/>
          <w:sz w:val="20"/>
          <w:szCs w:val="20"/>
        </w:rPr>
        <w:t xml:space="preserve"> The assay outlined below is ~$3,500 and will require 7 days in BSL3 containment and ~20 hours of </w:t>
      </w:r>
      <w:r w:rsidR="00B903B4">
        <w:rPr>
          <w:rFonts w:ascii="Arial" w:hAnsi="Arial" w:cs="Arial"/>
          <w:sz w:val="20"/>
          <w:szCs w:val="20"/>
        </w:rPr>
        <w:t xml:space="preserve">approved </w:t>
      </w:r>
      <w:r w:rsidR="009B47FB">
        <w:rPr>
          <w:rFonts w:ascii="Arial" w:hAnsi="Arial" w:cs="Arial"/>
          <w:sz w:val="20"/>
          <w:szCs w:val="20"/>
        </w:rPr>
        <w:t xml:space="preserve">BSL3 worker labor. </w:t>
      </w:r>
    </w:p>
    <w:p w14:paraId="0E1FAFEB" w14:textId="77777777" w:rsidR="00F05FC7" w:rsidRDefault="00F05FC7" w:rsidP="00F05FC7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FC7">
        <w:rPr>
          <w:rFonts w:ascii="Arial" w:hAnsi="Arial" w:cs="Arial"/>
          <w:b/>
          <w:bCs/>
          <w:sz w:val="20"/>
          <w:szCs w:val="20"/>
        </w:rPr>
        <w:t xml:space="preserve">Questions regarding experimental design and scheduling can be directed to Dr. Trey </w:t>
      </w:r>
      <w:proofErr w:type="spellStart"/>
      <w:r w:rsidRPr="00F05FC7">
        <w:rPr>
          <w:rFonts w:ascii="Arial" w:hAnsi="Arial" w:cs="Arial"/>
          <w:b/>
          <w:bCs/>
          <w:sz w:val="20"/>
          <w:szCs w:val="20"/>
        </w:rPr>
        <w:t>Oguin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29EA3F00" w14:textId="08B2C889" w:rsidR="00C14A74" w:rsidRDefault="001443BD" w:rsidP="00F05FC7">
      <w:pPr>
        <w:adjustRightInd w:val="0"/>
        <w:snapToGrid w:val="0"/>
        <w:spacing w:before="40" w:after="40" w:line="240" w:lineRule="auto"/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7" w:history="1">
        <w:r w:rsidR="00F05FC7" w:rsidRPr="00F05FC7">
          <w:rPr>
            <w:rStyle w:val="Hyperlink"/>
            <w:rFonts w:ascii="Arial" w:hAnsi="Arial" w:cs="Arial"/>
            <w:b/>
            <w:bCs/>
            <w:sz w:val="20"/>
            <w:szCs w:val="20"/>
          </w:rPr>
          <w:t>thomas.oguin@duke.edu</w:t>
        </w:r>
      </w:hyperlink>
    </w:p>
    <w:p w14:paraId="4DC3DB14" w14:textId="77777777" w:rsidR="0014306A" w:rsidRPr="0014306A" w:rsidRDefault="0014306A" w:rsidP="00F05FC7">
      <w:pPr>
        <w:adjustRightInd w:val="0"/>
        <w:snapToGrid w:val="0"/>
        <w:spacing w:before="40" w:after="40" w:line="24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2EEC974A" w14:textId="77777777" w:rsidR="00C14A74" w:rsidRPr="002E2D4B" w:rsidRDefault="00C14A74" w:rsidP="0014306A">
      <w:pPr>
        <w:pBdr>
          <w:top w:val="single" w:sz="4" w:space="1" w:color="auto"/>
        </w:pBdr>
        <w:adjustRightInd w:val="0"/>
        <w:snapToGrid w:val="0"/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 w:rsidRPr="002E2D4B">
        <w:rPr>
          <w:rFonts w:ascii="Arial" w:hAnsi="Arial" w:cs="Arial"/>
          <w:b/>
          <w:sz w:val="20"/>
          <w:szCs w:val="20"/>
        </w:rPr>
        <w:t xml:space="preserve">Requesting Party Requirements:  </w:t>
      </w:r>
    </w:p>
    <w:p w14:paraId="4574CC5C" w14:textId="77777777" w:rsidR="00C14A74" w:rsidRPr="002E2D4B" w:rsidRDefault="00C14A74" w:rsidP="00C14A74">
      <w:pPr>
        <w:pStyle w:val="ListParagraph"/>
        <w:numPr>
          <w:ilvl w:val="0"/>
          <w:numId w:val="4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All compounds are approved to be used safely by laboratory staff. Documentation required at time of submission.</w:t>
      </w:r>
    </w:p>
    <w:p w14:paraId="2CD0B8C8" w14:textId="77777777" w:rsidR="00C14A74" w:rsidRPr="002E2D4B" w:rsidRDefault="00C14A74" w:rsidP="00C14A74">
      <w:pPr>
        <w:pStyle w:val="ListParagraph"/>
        <w:numPr>
          <w:ilvl w:val="0"/>
          <w:numId w:val="4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All compounds submitted for testing will be labeled clearly with printed labels, and a digital sample manifest will be provided by requester at time of submission. No hand</w:t>
      </w:r>
      <w:r>
        <w:rPr>
          <w:rFonts w:ascii="Arial" w:hAnsi="Arial" w:cs="Arial"/>
          <w:sz w:val="20"/>
          <w:szCs w:val="20"/>
        </w:rPr>
        <w:t>-</w:t>
      </w:r>
      <w:r w:rsidRPr="002E2D4B">
        <w:rPr>
          <w:rFonts w:ascii="Arial" w:hAnsi="Arial" w:cs="Arial"/>
          <w:sz w:val="20"/>
          <w:szCs w:val="20"/>
        </w:rPr>
        <w:t>written items will be accepted.</w:t>
      </w:r>
    </w:p>
    <w:p w14:paraId="5E4D9A3C" w14:textId="77777777" w:rsidR="00C14A74" w:rsidRPr="002E2D4B" w:rsidRDefault="00C14A74" w:rsidP="00C14A74">
      <w:pPr>
        <w:pStyle w:val="ListParagraph"/>
        <w:numPr>
          <w:ilvl w:val="0"/>
          <w:numId w:val="4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All compounds will be tested in a 96 well format. Ensure enough volume for dilution series and replicates.</w:t>
      </w:r>
    </w:p>
    <w:p w14:paraId="6222D7DF" w14:textId="77777777" w:rsidR="00C14A74" w:rsidRPr="002E2D4B" w:rsidRDefault="00C14A74" w:rsidP="00C14A74">
      <w:pPr>
        <w:pStyle w:val="ListParagraph"/>
        <w:numPr>
          <w:ilvl w:val="0"/>
          <w:numId w:val="4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All controls will be provided by requesting party.</w:t>
      </w:r>
    </w:p>
    <w:p w14:paraId="6DC06B50" w14:textId="77777777" w:rsidR="00C14A74" w:rsidRPr="002E2D4B" w:rsidRDefault="00C14A74" w:rsidP="00C14A74">
      <w:pPr>
        <w:pStyle w:val="ListParagraph"/>
        <w:numPr>
          <w:ilvl w:val="0"/>
          <w:numId w:val="4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All vehicle/diluent will be provided by requesting party.</w:t>
      </w:r>
    </w:p>
    <w:p w14:paraId="365F0A63" w14:textId="7BF366B8" w:rsidR="00C14A74" w:rsidRPr="00B346FC" w:rsidRDefault="00C14A74" w:rsidP="00B346FC">
      <w:pPr>
        <w:pStyle w:val="ListParagraph"/>
        <w:numPr>
          <w:ilvl w:val="0"/>
          <w:numId w:val="4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Cell lines that are not Vero E6 cells will be provided by requesting party alongside QC report of the cell line. </w:t>
      </w:r>
      <w:r w:rsidR="00B346FC">
        <w:rPr>
          <w:rFonts w:ascii="Arial" w:hAnsi="Arial" w:cs="Arial"/>
          <w:sz w:val="20"/>
          <w:szCs w:val="20"/>
        </w:rPr>
        <w:t xml:space="preserve"> </w:t>
      </w:r>
      <w:r w:rsidRPr="00B346FC">
        <w:rPr>
          <w:rFonts w:ascii="Arial" w:hAnsi="Arial" w:cs="Arial"/>
          <w:i/>
          <w:iCs/>
          <w:sz w:val="20"/>
          <w:szCs w:val="20"/>
        </w:rPr>
        <w:t>Note:  submitted cell lines must grow readily on plastic dishes at standard laboratory conditions.</w:t>
      </w:r>
    </w:p>
    <w:p w14:paraId="771E39C0" w14:textId="77777777" w:rsidR="00C14A74" w:rsidRPr="002E2D4B" w:rsidRDefault="00C14A74" w:rsidP="00C14A74">
      <w:pPr>
        <w:pStyle w:val="ListParagraph"/>
        <w:numPr>
          <w:ilvl w:val="0"/>
          <w:numId w:val="4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Culture </w:t>
      </w:r>
      <w:r w:rsidRPr="002E2D4B">
        <w:rPr>
          <w:rFonts w:ascii="Arial" w:hAnsi="Arial" w:cs="Arial"/>
          <w:sz w:val="20"/>
          <w:szCs w:val="20"/>
        </w:rPr>
        <w:t>medi</w:t>
      </w:r>
      <w:r>
        <w:rPr>
          <w:rFonts w:ascii="Arial" w:hAnsi="Arial" w:cs="Arial"/>
          <w:sz w:val="20"/>
          <w:szCs w:val="20"/>
        </w:rPr>
        <w:t>um</w:t>
      </w:r>
      <w:r w:rsidRPr="002E2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required</w:t>
      </w:r>
      <w:r w:rsidRPr="002E2D4B">
        <w:rPr>
          <w:rFonts w:ascii="Arial" w:hAnsi="Arial" w:cs="Arial"/>
          <w:sz w:val="20"/>
          <w:szCs w:val="20"/>
        </w:rPr>
        <w:t xml:space="preserve"> supplements must be provided by requesting party.</w:t>
      </w:r>
    </w:p>
    <w:p w14:paraId="04EF9C7B" w14:textId="7DAF08D4" w:rsidR="00AA567C" w:rsidRPr="00DF1F2F" w:rsidRDefault="00C14A74" w:rsidP="0014306A">
      <w:pPr>
        <w:pStyle w:val="ListParagraph"/>
        <w:numPr>
          <w:ilvl w:val="0"/>
          <w:numId w:val="4"/>
        </w:numPr>
        <w:pBdr>
          <w:bottom w:val="single" w:sz="4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53815">
        <w:rPr>
          <w:rFonts w:ascii="Arial" w:hAnsi="Arial" w:cs="Arial"/>
          <w:b/>
          <w:bCs/>
          <w:sz w:val="20"/>
          <w:szCs w:val="20"/>
        </w:rPr>
        <w:t>Maximum batch size is 2 treated 96 well plates/day.  This translates to 16 test/control on 96 well titer plates.</w:t>
      </w:r>
    </w:p>
    <w:p w14:paraId="7A039F17" w14:textId="77777777" w:rsidR="00DF1F2F" w:rsidRPr="00AA567C" w:rsidRDefault="00DF1F2F" w:rsidP="00DF1F2F">
      <w:pPr>
        <w:adjustRightInd w:val="0"/>
        <w:snapToGrid w:val="0"/>
        <w:spacing w:before="40" w:after="40"/>
        <w:rPr>
          <w:rFonts w:ascii="Arial" w:hAnsi="Arial" w:cs="Arial"/>
          <w:b/>
          <w:sz w:val="10"/>
          <w:szCs w:val="10"/>
        </w:rPr>
      </w:pPr>
    </w:p>
    <w:p w14:paraId="77FB2179" w14:textId="77777777" w:rsidR="00DF1F2F" w:rsidRPr="002E2D4B" w:rsidRDefault="00DF1F2F" w:rsidP="00DF1F2F">
      <w:pPr>
        <w:pStyle w:val="ListParagraph"/>
        <w:framePr w:hSpace="180" w:wrap="around" w:vAnchor="text" w:hAnchor="text" w:y="1"/>
        <w:adjustRightInd w:val="0"/>
        <w:snapToGrid w:val="0"/>
        <w:spacing w:before="40" w:after="40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1D17F3">
        <w:rPr>
          <w:rFonts w:ascii="Arial" w:hAnsi="Arial" w:cs="Arial"/>
          <w:b/>
          <w:sz w:val="20"/>
          <w:szCs w:val="20"/>
        </w:rPr>
        <w:t>Experimental Details from Requesting Party:</w:t>
      </w:r>
    </w:p>
    <w:p w14:paraId="7840235A" w14:textId="046A83B9" w:rsidR="00DF1F2F" w:rsidRPr="002E2D4B" w:rsidRDefault="00DF1F2F" w:rsidP="00DF1F2F">
      <w:pPr>
        <w:pStyle w:val="ListParagraph"/>
        <w:framePr w:hSpace="180" w:wrap="around" w:vAnchor="text" w:hAnchor="text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Cell line for </w:t>
      </w:r>
      <w:r w:rsidR="009B47FB">
        <w:rPr>
          <w:rFonts w:ascii="Arial" w:hAnsi="Arial" w:cs="Arial"/>
          <w:sz w:val="20"/>
          <w:szCs w:val="20"/>
        </w:rPr>
        <w:t xml:space="preserve">anti-viral </w:t>
      </w:r>
      <w:r w:rsidRPr="002E2D4B">
        <w:rPr>
          <w:rFonts w:ascii="Arial" w:hAnsi="Arial" w:cs="Arial"/>
          <w:sz w:val="20"/>
          <w:szCs w:val="20"/>
        </w:rPr>
        <w:t>testing:</w:t>
      </w:r>
      <w:r>
        <w:rPr>
          <w:rFonts w:ascii="Arial" w:hAnsi="Arial" w:cs="Arial"/>
          <w:sz w:val="20"/>
          <w:szCs w:val="20"/>
        </w:rPr>
        <w:t xml:space="preserve">  </w:t>
      </w:r>
      <w:r w:rsidRPr="007371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371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371E6">
        <w:rPr>
          <w:rFonts w:ascii="Arial" w:hAnsi="Arial" w:cs="Arial"/>
          <w:sz w:val="20"/>
          <w:szCs w:val="20"/>
          <w:u w:val="single"/>
        </w:rPr>
      </w:r>
      <w:r w:rsidRPr="007371E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4F993266" w14:textId="1EE3099A" w:rsidR="00DF1F2F" w:rsidRPr="002E2D4B" w:rsidRDefault="00DF1F2F" w:rsidP="00DF1F2F">
      <w:pPr>
        <w:pStyle w:val="ListParagraph"/>
        <w:framePr w:hSpace="180" w:wrap="around" w:vAnchor="text" w:hAnchor="text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If not Vero E6, </w:t>
      </w:r>
      <w:r w:rsidR="009B47FB">
        <w:rPr>
          <w:rFonts w:ascii="Arial" w:hAnsi="Arial" w:cs="Arial"/>
          <w:sz w:val="20"/>
          <w:szCs w:val="20"/>
        </w:rPr>
        <w:t xml:space="preserve">what is </w:t>
      </w:r>
      <w:r w:rsidRPr="002E2D4B">
        <w:rPr>
          <w:rFonts w:ascii="Arial" w:hAnsi="Arial" w:cs="Arial"/>
          <w:sz w:val="20"/>
          <w:szCs w:val="20"/>
        </w:rPr>
        <w:t>cell plating density (96 well plate):</w:t>
      </w:r>
      <w:r>
        <w:rPr>
          <w:rFonts w:ascii="Arial" w:hAnsi="Arial" w:cs="Arial"/>
          <w:sz w:val="20"/>
          <w:szCs w:val="20"/>
        </w:rPr>
        <w:t xml:space="preserve">  </w:t>
      </w:r>
      <w:r w:rsidRPr="007371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71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371E6">
        <w:rPr>
          <w:rFonts w:ascii="Arial" w:hAnsi="Arial" w:cs="Arial"/>
          <w:sz w:val="20"/>
          <w:szCs w:val="20"/>
          <w:u w:val="single"/>
        </w:rPr>
      </w:r>
      <w:r w:rsidRPr="007371E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32F52E3" w14:textId="26C08DBD" w:rsidR="00DF1F2F" w:rsidRPr="002E2D4B" w:rsidRDefault="00DF1F2F" w:rsidP="00DF1F2F">
      <w:pPr>
        <w:pStyle w:val="ListParagraph"/>
        <w:framePr w:hSpace="180" w:wrap="around" w:vAnchor="text" w:hAnchor="text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If not Vero E6, </w:t>
      </w:r>
      <w:r w:rsidR="009B47FB">
        <w:rPr>
          <w:rFonts w:ascii="Arial" w:hAnsi="Arial" w:cs="Arial"/>
          <w:sz w:val="20"/>
          <w:szCs w:val="20"/>
        </w:rPr>
        <w:t xml:space="preserve">what is </w:t>
      </w:r>
      <w:r w:rsidRPr="002E2D4B">
        <w:rPr>
          <w:rFonts w:ascii="Arial" w:hAnsi="Arial" w:cs="Arial"/>
          <w:sz w:val="20"/>
          <w:szCs w:val="20"/>
        </w:rPr>
        <w:t xml:space="preserve">media requirements: </w:t>
      </w:r>
      <w:r w:rsidRPr="007371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71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371E6">
        <w:rPr>
          <w:rFonts w:ascii="Arial" w:hAnsi="Arial" w:cs="Arial"/>
          <w:sz w:val="20"/>
          <w:szCs w:val="20"/>
          <w:u w:val="single"/>
        </w:rPr>
      </w:r>
      <w:r w:rsidRPr="007371E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sz w:val="20"/>
          <w:szCs w:val="20"/>
          <w:u w:val="single"/>
        </w:rPr>
        <w:fldChar w:fldCharType="end"/>
      </w:r>
      <w:r w:rsidR="009B47FB">
        <w:rPr>
          <w:rFonts w:ascii="Arial" w:hAnsi="Arial" w:cs="Arial"/>
          <w:sz w:val="20"/>
          <w:szCs w:val="20"/>
          <w:u w:val="single"/>
        </w:rPr>
        <w:t xml:space="preserve"> </w:t>
      </w:r>
      <w:r w:rsidR="009B47FB" w:rsidRPr="009B47FB">
        <w:rPr>
          <w:rFonts w:ascii="Arial" w:hAnsi="Arial" w:cs="Arial"/>
          <w:sz w:val="20"/>
          <w:szCs w:val="20"/>
        </w:rPr>
        <w:t>(please provide)</w:t>
      </w:r>
    </w:p>
    <w:p w14:paraId="098BB485" w14:textId="78DE11DE" w:rsidR="00DF1F2F" w:rsidRDefault="00DF1F2F" w:rsidP="00DF1F2F">
      <w:pPr>
        <w:pStyle w:val="ListParagraph"/>
        <w:framePr w:hSpace="180" w:wrap="around" w:vAnchor="text" w:hAnchor="text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anti-viral samples to be tested (max 8 per exp</w:t>
      </w:r>
      <w:r w:rsidR="009B47FB">
        <w:rPr>
          <w:rFonts w:ascii="Arial" w:hAnsi="Arial" w:cs="Arial"/>
          <w:sz w:val="20"/>
          <w:szCs w:val="20"/>
        </w:rPr>
        <w:t>eriment</w:t>
      </w:r>
      <w:r>
        <w:rPr>
          <w:rFonts w:ascii="Arial" w:hAnsi="Arial" w:cs="Arial"/>
          <w:sz w:val="20"/>
          <w:szCs w:val="20"/>
        </w:rPr>
        <w:t xml:space="preserve">): </w:t>
      </w:r>
      <w:r w:rsidRPr="007371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71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371E6">
        <w:rPr>
          <w:rFonts w:ascii="Arial" w:hAnsi="Arial" w:cs="Arial"/>
          <w:sz w:val="20"/>
          <w:szCs w:val="20"/>
          <w:u w:val="single"/>
        </w:rPr>
      </w:r>
      <w:r w:rsidRPr="007371E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953F5DC" w14:textId="782B1C79" w:rsidR="00B346FC" w:rsidRPr="002E2D4B" w:rsidRDefault="00B346FC" w:rsidP="00B346FC">
      <w:pPr>
        <w:pStyle w:val="ListParagraph"/>
        <w:framePr w:hSpace="180" w:wrap="around" w:vAnchor="text" w:hAnchor="text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Earliest date test material will be available</w:t>
      </w:r>
      <w:r w:rsidRPr="002E2D4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7371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71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371E6">
        <w:rPr>
          <w:rFonts w:ascii="Arial" w:hAnsi="Arial" w:cs="Arial"/>
          <w:sz w:val="20"/>
          <w:szCs w:val="20"/>
          <w:u w:val="single"/>
        </w:rPr>
      </w:r>
      <w:r w:rsidRPr="007371E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F9914ED" w14:textId="718DB9ED" w:rsidR="00DF1F2F" w:rsidRPr="002E2D4B" w:rsidRDefault="00DF1F2F" w:rsidP="00DF1F2F">
      <w:pPr>
        <w:pStyle w:val="ListParagraph"/>
        <w:framePr w:hSpace="180" w:wrap="around" w:vAnchor="text" w:hAnchor="text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Anti-viral </w:t>
      </w:r>
      <w:r w:rsidRPr="002E2D4B">
        <w:rPr>
          <w:rFonts w:ascii="Arial" w:hAnsi="Arial" w:cs="Arial"/>
          <w:sz w:val="20"/>
          <w:szCs w:val="20"/>
        </w:rPr>
        <w:t>treatment duration:</w:t>
      </w:r>
      <w:r>
        <w:rPr>
          <w:rFonts w:ascii="Arial" w:hAnsi="Arial" w:cs="Arial"/>
          <w:sz w:val="20"/>
          <w:szCs w:val="20"/>
        </w:rPr>
        <w:t xml:space="preserve">  </w:t>
      </w:r>
      <w:r w:rsidRPr="007371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71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371E6">
        <w:rPr>
          <w:rFonts w:ascii="Arial" w:hAnsi="Arial" w:cs="Arial"/>
          <w:sz w:val="20"/>
          <w:szCs w:val="20"/>
          <w:u w:val="single"/>
        </w:rPr>
      </w:r>
      <w:r w:rsidRPr="007371E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EC4B44B" w14:textId="521EE7D0" w:rsidR="00DF1F2F" w:rsidRPr="002E2D4B" w:rsidRDefault="009B47FB" w:rsidP="00DF1F2F">
      <w:pPr>
        <w:pStyle w:val="ListParagraph"/>
        <w:framePr w:hSpace="180" w:wrap="around" w:vAnchor="text" w:hAnchor="text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SARS-CoV-2 </w:t>
      </w:r>
      <w:r w:rsidR="00DF1F2F" w:rsidRPr="002E2D4B">
        <w:rPr>
          <w:rFonts w:ascii="Arial" w:hAnsi="Arial" w:cs="Arial"/>
          <w:sz w:val="20"/>
          <w:szCs w:val="20"/>
        </w:rPr>
        <w:t>MOI:</w:t>
      </w:r>
      <w:r w:rsidR="00DF1F2F">
        <w:rPr>
          <w:rFonts w:ascii="Arial" w:hAnsi="Arial" w:cs="Arial"/>
          <w:sz w:val="20"/>
          <w:szCs w:val="20"/>
        </w:rPr>
        <w:t xml:space="preserve"> </w:t>
      </w:r>
      <w:r w:rsidR="00DF1F2F" w:rsidRPr="007371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F1F2F" w:rsidRPr="007371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F1F2F" w:rsidRPr="007371E6">
        <w:rPr>
          <w:rFonts w:ascii="Arial" w:hAnsi="Arial" w:cs="Arial"/>
          <w:sz w:val="20"/>
          <w:szCs w:val="20"/>
          <w:u w:val="single"/>
        </w:rPr>
      </w:r>
      <w:r w:rsidR="00DF1F2F" w:rsidRPr="007371E6">
        <w:rPr>
          <w:rFonts w:ascii="Arial" w:hAnsi="Arial" w:cs="Arial"/>
          <w:sz w:val="20"/>
          <w:szCs w:val="20"/>
          <w:u w:val="single"/>
        </w:rPr>
        <w:fldChar w:fldCharType="separate"/>
      </w:r>
      <w:r w:rsidR="00DF1F2F"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="00DF1F2F"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="00DF1F2F"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="00DF1F2F"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="00DF1F2F"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="00DF1F2F" w:rsidRPr="007371E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B45862D" w14:textId="77777777" w:rsidR="00DF1F2F" w:rsidRPr="002E2D4B" w:rsidRDefault="00DF1F2F" w:rsidP="00DF1F2F">
      <w:pPr>
        <w:pStyle w:val="ListParagraph"/>
        <w:framePr w:hSpace="180" w:wrap="around" w:vAnchor="text" w:hAnchor="text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Supernatant collection time(s):</w:t>
      </w:r>
      <w:r>
        <w:rPr>
          <w:rFonts w:ascii="Arial" w:hAnsi="Arial" w:cs="Arial"/>
          <w:sz w:val="20"/>
          <w:szCs w:val="20"/>
        </w:rPr>
        <w:t xml:space="preserve"> </w:t>
      </w:r>
      <w:r w:rsidRPr="007371E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71E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371E6">
        <w:rPr>
          <w:rFonts w:ascii="Arial" w:hAnsi="Arial" w:cs="Arial"/>
          <w:sz w:val="20"/>
          <w:szCs w:val="20"/>
          <w:u w:val="single"/>
        </w:rPr>
      </w:r>
      <w:r w:rsidRPr="007371E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371E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503AD28" w14:textId="43B888EB" w:rsidR="00C14A74" w:rsidRPr="002E2D4B" w:rsidRDefault="007371E6" w:rsidP="00C14A74">
      <w:pPr>
        <w:adjustRightInd w:val="0"/>
        <w:snapToGrid w:val="0"/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Approach</w:t>
      </w:r>
      <w:r w:rsidR="00C14A74" w:rsidRPr="002E2D4B">
        <w:rPr>
          <w:rFonts w:ascii="Arial" w:hAnsi="Arial" w:cs="Arial"/>
          <w:b/>
          <w:sz w:val="20"/>
          <w:szCs w:val="20"/>
        </w:rPr>
        <w:t>:</w:t>
      </w:r>
    </w:p>
    <w:p w14:paraId="3916A5C2" w14:textId="77777777" w:rsidR="00C14A74" w:rsidRPr="002E2D4B" w:rsidRDefault="00C14A74" w:rsidP="00C14A74">
      <w:pPr>
        <w:pStyle w:val="ListParagraph"/>
        <w:numPr>
          <w:ilvl w:val="0"/>
          <w:numId w:val="6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Submit drugs, diluent, and controls. </w:t>
      </w:r>
      <w:r>
        <w:rPr>
          <w:rFonts w:ascii="Arial" w:hAnsi="Arial" w:cs="Arial"/>
          <w:sz w:val="20"/>
          <w:szCs w:val="20"/>
        </w:rPr>
        <w:t xml:space="preserve"> </w:t>
      </w:r>
      <w:r w:rsidRPr="002E2D4B">
        <w:rPr>
          <w:rFonts w:ascii="Arial" w:hAnsi="Arial" w:cs="Arial"/>
          <w:sz w:val="20"/>
          <w:szCs w:val="20"/>
        </w:rPr>
        <w:t xml:space="preserve">Virology Unit will dilute compounds and treat Vero E6 cells for recommended times. Vero E6 cells will be infected at recommended MOI. Supernatant will be collected at recommended times and </w:t>
      </w:r>
      <w:proofErr w:type="spellStart"/>
      <w:r w:rsidRPr="002E2D4B">
        <w:rPr>
          <w:rFonts w:ascii="Arial" w:hAnsi="Arial" w:cs="Arial"/>
          <w:sz w:val="20"/>
          <w:szCs w:val="20"/>
        </w:rPr>
        <w:t>titered</w:t>
      </w:r>
      <w:proofErr w:type="spellEnd"/>
      <w:r w:rsidRPr="002E2D4B">
        <w:rPr>
          <w:rFonts w:ascii="Arial" w:hAnsi="Arial" w:cs="Arial"/>
          <w:sz w:val="20"/>
          <w:szCs w:val="20"/>
        </w:rPr>
        <w:t xml:space="preserve"> on a fresh batch of Vero E6 cells to determine infectious viral titer.</w:t>
      </w:r>
    </w:p>
    <w:p w14:paraId="7DFF269D" w14:textId="77777777" w:rsidR="004009D3" w:rsidRDefault="00C14A74" w:rsidP="004009D3">
      <w:pPr>
        <w:pStyle w:val="ListParagraph"/>
        <w:numPr>
          <w:ilvl w:val="0"/>
          <w:numId w:val="6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Cells other than Vero E6.  Pre</w:t>
      </w:r>
      <w:r>
        <w:rPr>
          <w:rFonts w:ascii="Arial" w:hAnsi="Arial" w:cs="Arial"/>
          <w:sz w:val="20"/>
          <w:szCs w:val="20"/>
        </w:rPr>
        <w:t>-</w:t>
      </w:r>
      <w:r w:rsidRPr="002E2D4B">
        <w:rPr>
          <w:rFonts w:ascii="Arial" w:hAnsi="Arial" w:cs="Arial"/>
          <w:sz w:val="20"/>
          <w:szCs w:val="20"/>
        </w:rPr>
        <w:t>plated/pre</w:t>
      </w:r>
      <w:r>
        <w:rPr>
          <w:rFonts w:ascii="Arial" w:hAnsi="Arial" w:cs="Arial"/>
          <w:sz w:val="20"/>
          <w:szCs w:val="20"/>
        </w:rPr>
        <w:t>-</w:t>
      </w:r>
      <w:r w:rsidRPr="002E2D4B">
        <w:rPr>
          <w:rFonts w:ascii="Arial" w:hAnsi="Arial" w:cs="Arial"/>
          <w:sz w:val="20"/>
          <w:szCs w:val="20"/>
        </w:rPr>
        <w:t xml:space="preserve">treated cells in 96 well plates will be submitted to the Virology Unit. </w:t>
      </w:r>
      <w:r>
        <w:rPr>
          <w:rFonts w:ascii="Arial" w:hAnsi="Arial" w:cs="Arial"/>
          <w:sz w:val="20"/>
          <w:szCs w:val="20"/>
        </w:rPr>
        <w:t xml:space="preserve"> </w:t>
      </w:r>
      <w:r w:rsidRPr="002E2D4B">
        <w:rPr>
          <w:rFonts w:ascii="Arial" w:hAnsi="Arial" w:cs="Arial"/>
          <w:sz w:val="20"/>
          <w:szCs w:val="20"/>
        </w:rPr>
        <w:t xml:space="preserve">If the cells cannot be treated before submission, the Virology Unit can treat the cells as per the requesting party’s recommendation. </w:t>
      </w:r>
      <w:r>
        <w:rPr>
          <w:rFonts w:ascii="Arial" w:hAnsi="Arial" w:cs="Arial"/>
          <w:sz w:val="20"/>
          <w:szCs w:val="20"/>
        </w:rPr>
        <w:t xml:space="preserve"> </w:t>
      </w:r>
      <w:r w:rsidRPr="002E2D4B">
        <w:rPr>
          <w:rFonts w:ascii="Arial" w:hAnsi="Arial" w:cs="Arial"/>
          <w:sz w:val="20"/>
          <w:szCs w:val="20"/>
        </w:rPr>
        <w:t xml:space="preserve">The supplied materials will be </w:t>
      </w:r>
      <w:proofErr w:type="gramStart"/>
      <w:r w:rsidRPr="002E2D4B">
        <w:rPr>
          <w:rFonts w:ascii="Arial" w:hAnsi="Arial" w:cs="Arial"/>
          <w:sz w:val="20"/>
          <w:szCs w:val="20"/>
        </w:rPr>
        <w:t>infected</w:t>
      </w:r>
      <w:proofErr w:type="gramEnd"/>
      <w:r w:rsidRPr="002E2D4B">
        <w:rPr>
          <w:rFonts w:ascii="Arial" w:hAnsi="Arial" w:cs="Arial"/>
          <w:sz w:val="20"/>
          <w:szCs w:val="20"/>
        </w:rPr>
        <w:t xml:space="preserve"> and supernatant will be </w:t>
      </w:r>
      <w:proofErr w:type="spellStart"/>
      <w:r w:rsidRPr="002E2D4B">
        <w:rPr>
          <w:rFonts w:ascii="Arial" w:hAnsi="Arial" w:cs="Arial"/>
          <w:sz w:val="20"/>
          <w:szCs w:val="20"/>
        </w:rPr>
        <w:t>titered</w:t>
      </w:r>
      <w:proofErr w:type="spellEnd"/>
      <w:r w:rsidRPr="002E2D4B">
        <w:rPr>
          <w:rFonts w:ascii="Arial" w:hAnsi="Arial" w:cs="Arial"/>
          <w:sz w:val="20"/>
          <w:szCs w:val="20"/>
        </w:rPr>
        <w:t xml:space="preserve"> on Vero E6 cells to determine infectious viral titer.</w:t>
      </w:r>
    </w:p>
    <w:p w14:paraId="54495B07" w14:textId="4079638D" w:rsidR="00C14A74" w:rsidRPr="004009D3" w:rsidRDefault="00C14A74" w:rsidP="004009D3">
      <w:pPr>
        <w:pStyle w:val="ListParagraph"/>
        <w:numPr>
          <w:ilvl w:val="0"/>
          <w:numId w:val="6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bCs/>
          <w:sz w:val="20"/>
          <w:szCs w:val="20"/>
        </w:rPr>
      </w:pPr>
      <w:r w:rsidRPr="004009D3">
        <w:rPr>
          <w:rFonts w:ascii="Arial" w:hAnsi="Arial" w:cs="Arial"/>
          <w:bCs/>
          <w:sz w:val="20"/>
          <w:szCs w:val="20"/>
        </w:rPr>
        <w:t>Workflow:</w:t>
      </w:r>
    </w:p>
    <w:p w14:paraId="1D35F011" w14:textId="520F85DC" w:rsidR="00C14A74" w:rsidRPr="004009D3" w:rsidRDefault="00C14A74" w:rsidP="004009D3">
      <w:pPr>
        <w:pStyle w:val="ListParagraph"/>
        <w:numPr>
          <w:ilvl w:val="1"/>
          <w:numId w:val="6"/>
        </w:numPr>
        <w:adjustRightInd w:val="0"/>
        <w:snapToGrid w:val="0"/>
        <w:spacing w:before="40" w:after="40"/>
        <w:contextualSpacing w:val="0"/>
        <w:rPr>
          <w:rFonts w:ascii="Arial" w:hAnsi="Arial" w:cs="Arial"/>
          <w:bCs/>
          <w:sz w:val="20"/>
          <w:szCs w:val="20"/>
        </w:rPr>
      </w:pPr>
      <w:r w:rsidRPr="004009D3">
        <w:rPr>
          <w:rFonts w:ascii="Arial" w:hAnsi="Arial" w:cs="Arial"/>
          <w:bCs/>
          <w:sz w:val="20"/>
          <w:szCs w:val="20"/>
        </w:rPr>
        <w:t>Cells will be plated the day before infection</w:t>
      </w:r>
    </w:p>
    <w:p w14:paraId="39476B75" w14:textId="22E8A505" w:rsidR="00C14A74" w:rsidRPr="004009D3" w:rsidRDefault="00C14A74" w:rsidP="004009D3">
      <w:pPr>
        <w:pStyle w:val="ListParagraph"/>
        <w:numPr>
          <w:ilvl w:val="1"/>
          <w:numId w:val="6"/>
        </w:numPr>
        <w:adjustRightInd w:val="0"/>
        <w:snapToGrid w:val="0"/>
        <w:spacing w:before="40" w:after="40"/>
        <w:contextualSpacing w:val="0"/>
        <w:rPr>
          <w:rFonts w:ascii="Arial" w:hAnsi="Arial" w:cs="Arial"/>
          <w:bCs/>
          <w:sz w:val="20"/>
          <w:szCs w:val="20"/>
        </w:rPr>
      </w:pPr>
      <w:r w:rsidRPr="004009D3">
        <w:rPr>
          <w:rFonts w:ascii="Arial" w:hAnsi="Arial" w:cs="Arial"/>
          <w:bCs/>
          <w:sz w:val="20"/>
          <w:szCs w:val="20"/>
        </w:rPr>
        <w:t>Cells will be washed 1 time with DPBS</w:t>
      </w:r>
    </w:p>
    <w:p w14:paraId="03F23296" w14:textId="6F8D8307" w:rsidR="00C14A74" w:rsidRPr="004009D3" w:rsidRDefault="00C14A74" w:rsidP="004009D3">
      <w:pPr>
        <w:pStyle w:val="ListParagraph"/>
        <w:numPr>
          <w:ilvl w:val="1"/>
          <w:numId w:val="6"/>
        </w:numPr>
        <w:adjustRightInd w:val="0"/>
        <w:snapToGrid w:val="0"/>
        <w:spacing w:before="40" w:after="40"/>
        <w:contextualSpacing w:val="0"/>
        <w:rPr>
          <w:rFonts w:ascii="Arial" w:hAnsi="Arial" w:cs="Arial"/>
          <w:bCs/>
          <w:sz w:val="20"/>
          <w:szCs w:val="20"/>
        </w:rPr>
      </w:pPr>
      <w:r w:rsidRPr="004009D3">
        <w:rPr>
          <w:rFonts w:ascii="Arial" w:hAnsi="Arial" w:cs="Arial"/>
          <w:bCs/>
          <w:sz w:val="20"/>
          <w:szCs w:val="20"/>
        </w:rPr>
        <w:t>Cells will be treated in 100 µL</w:t>
      </w:r>
    </w:p>
    <w:p w14:paraId="7D8B581D" w14:textId="56E6CE84" w:rsidR="00C14A74" w:rsidRPr="004009D3" w:rsidRDefault="00C14A74" w:rsidP="004009D3">
      <w:pPr>
        <w:pStyle w:val="ListParagraph"/>
        <w:numPr>
          <w:ilvl w:val="1"/>
          <w:numId w:val="6"/>
        </w:numPr>
        <w:adjustRightInd w:val="0"/>
        <w:snapToGrid w:val="0"/>
        <w:spacing w:before="40" w:after="40"/>
        <w:contextualSpacing w:val="0"/>
        <w:rPr>
          <w:rFonts w:ascii="Arial" w:hAnsi="Arial" w:cs="Arial"/>
          <w:bCs/>
          <w:sz w:val="20"/>
          <w:szCs w:val="20"/>
        </w:rPr>
      </w:pPr>
      <w:r w:rsidRPr="004009D3">
        <w:rPr>
          <w:rFonts w:ascii="Arial" w:hAnsi="Arial" w:cs="Arial"/>
          <w:bCs/>
          <w:sz w:val="20"/>
          <w:szCs w:val="20"/>
        </w:rPr>
        <w:t>Cells will be infected, 10 µL virus/well at requested MOI</w:t>
      </w:r>
    </w:p>
    <w:p w14:paraId="65C05681" w14:textId="264C4459" w:rsidR="00C14A74" w:rsidRPr="004009D3" w:rsidRDefault="00C14A74" w:rsidP="004009D3">
      <w:pPr>
        <w:pStyle w:val="ListParagraph"/>
        <w:numPr>
          <w:ilvl w:val="1"/>
          <w:numId w:val="6"/>
        </w:numPr>
        <w:adjustRightInd w:val="0"/>
        <w:snapToGrid w:val="0"/>
        <w:spacing w:before="40" w:after="40"/>
        <w:contextualSpacing w:val="0"/>
        <w:rPr>
          <w:rFonts w:ascii="Arial" w:hAnsi="Arial" w:cs="Arial"/>
          <w:bCs/>
          <w:sz w:val="20"/>
          <w:szCs w:val="20"/>
        </w:rPr>
      </w:pPr>
      <w:r w:rsidRPr="004009D3">
        <w:rPr>
          <w:rFonts w:ascii="Arial" w:hAnsi="Arial" w:cs="Arial"/>
          <w:bCs/>
          <w:sz w:val="20"/>
          <w:szCs w:val="20"/>
        </w:rPr>
        <w:t>Supernatant will be collected at requested timepoint</w:t>
      </w:r>
    </w:p>
    <w:p w14:paraId="1EC38A60" w14:textId="0B67C063" w:rsidR="00C14A74" w:rsidRPr="004009D3" w:rsidRDefault="00C14A74" w:rsidP="004009D3">
      <w:pPr>
        <w:pStyle w:val="ListParagraph"/>
        <w:numPr>
          <w:ilvl w:val="1"/>
          <w:numId w:val="6"/>
        </w:numPr>
        <w:adjustRightInd w:val="0"/>
        <w:snapToGrid w:val="0"/>
        <w:spacing w:before="40" w:after="40"/>
        <w:contextualSpacing w:val="0"/>
        <w:rPr>
          <w:rFonts w:ascii="Arial" w:hAnsi="Arial" w:cs="Arial"/>
          <w:bCs/>
          <w:sz w:val="20"/>
          <w:szCs w:val="20"/>
        </w:rPr>
      </w:pPr>
      <w:r w:rsidRPr="004009D3">
        <w:rPr>
          <w:rFonts w:ascii="Arial" w:hAnsi="Arial" w:cs="Arial"/>
          <w:bCs/>
          <w:sz w:val="20"/>
          <w:szCs w:val="20"/>
        </w:rPr>
        <w:t xml:space="preserve">Supernatant will be </w:t>
      </w:r>
      <w:proofErr w:type="spellStart"/>
      <w:r w:rsidRPr="004009D3">
        <w:rPr>
          <w:rFonts w:ascii="Arial" w:hAnsi="Arial" w:cs="Arial"/>
          <w:bCs/>
          <w:sz w:val="20"/>
          <w:szCs w:val="20"/>
        </w:rPr>
        <w:t>titered</w:t>
      </w:r>
      <w:proofErr w:type="spellEnd"/>
    </w:p>
    <w:p w14:paraId="4EA053D9" w14:textId="52E7384D" w:rsidR="00C14A74" w:rsidRPr="004009D3" w:rsidRDefault="00C14A74" w:rsidP="004009D3">
      <w:pPr>
        <w:pStyle w:val="ListParagraph"/>
        <w:numPr>
          <w:ilvl w:val="1"/>
          <w:numId w:val="6"/>
        </w:numPr>
        <w:adjustRightInd w:val="0"/>
        <w:snapToGrid w:val="0"/>
        <w:spacing w:before="40" w:after="40"/>
        <w:contextualSpacing w:val="0"/>
        <w:rPr>
          <w:rFonts w:ascii="Arial" w:hAnsi="Arial" w:cs="Arial"/>
          <w:bCs/>
          <w:sz w:val="20"/>
          <w:szCs w:val="20"/>
        </w:rPr>
      </w:pPr>
      <w:r w:rsidRPr="004009D3">
        <w:rPr>
          <w:rFonts w:ascii="Arial" w:hAnsi="Arial" w:cs="Arial"/>
          <w:bCs/>
          <w:sz w:val="20"/>
          <w:szCs w:val="20"/>
        </w:rPr>
        <w:t>Viral titer will be scored and calculated</w:t>
      </w:r>
    </w:p>
    <w:p w14:paraId="1725561F" w14:textId="77777777" w:rsidR="00DF1F2F" w:rsidRPr="00DF1F2F" w:rsidRDefault="00DF1F2F" w:rsidP="00DF1F2F">
      <w:pPr>
        <w:adjustRightInd w:val="0"/>
        <w:snapToGrid w:val="0"/>
        <w:spacing w:before="40" w:after="40" w:line="240" w:lineRule="auto"/>
        <w:rPr>
          <w:rFonts w:ascii="Arial" w:hAnsi="Arial" w:cs="Arial"/>
          <w:b/>
          <w:sz w:val="10"/>
          <w:szCs w:val="10"/>
        </w:rPr>
      </w:pPr>
    </w:p>
    <w:p w14:paraId="384962EF" w14:textId="7A75E028" w:rsidR="00DF1F2F" w:rsidRPr="002E2D4B" w:rsidRDefault="00DF1F2F" w:rsidP="00DF1F2F">
      <w:pPr>
        <w:adjustRightInd w:val="0"/>
        <w:snapToGrid w:val="0"/>
        <w:spacing w:before="40" w:after="40" w:line="240" w:lineRule="auto"/>
        <w:rPr>
          <w:rFonts w:ascii="Arial" w:hAnsi="Arial" w:cs="Arial"/>
          <w:b/>
          <w:sz w:val="20"/>
          <w:szCs w:val="20"/>
        </w:rPr>
      </w:pPr>
      <w:r w:rsidRPr="002E2D4B">
        <w:rPr>
          <w:rFonts w:ascii="Arial" w:hAnsi="Arial" w:cs="Arial"/>
          <w:b/>
          <w:sz w:val="20"/>
          <w:szCs w:val="20"/>
        </w:rPr>
        <w:t>Deliverables:</w:t>
      </w:r>
    </w:p>
    <w:p w14:paraId="726539CC" w14:textId="77777777" w:rsidR="00DF1F2F" w:rsidRPr="002E2D4B" w:rsidRDefault="00DF1F2F" w:rsidP="00DF1F2F">
      <w:pPr>
        <w:pStyle w:val="ListParagraph"/>
        <w:numPr>
          <w:ilvl w:val="0"/>
          <w:numId w:val="5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Raw viral titer values from supernatant will be determined by TCID</w:t>
      </w:r>
      <w:r w:rsidRPr="002E2D4B">
        <w:rPr>
          <w:rFonts w:ascii="Arial" w:hAnsi="Arial" w:cs="Arial"/>
          <w:sz w:val="20"/>
          <w:szCs w:val="20"/>
          <w:vertAlign w:val="subscript"/>
        </w:rPr>
        <w:t>50</w:t>
      </w:r>
      <w:r w:rsidRPr="002E2D4B">
        <w:rPr>
          <w:rFonts w:ascii="Arial" w:hAnsi="Arial" w:cs="Arial"/>
          <w:sz w:val="20"/>
          <w:szCs w:val="20"/>
        </w:rPr>
        <w:t xml:space="preserve"> as measured by either vitality staining or fluorescence emission. </w:t>
      </w:r>
    </w:p>
    <w:p w14:paraId="3067322F" w14:textId="77777777" w:rsidR="00DF1F2F" w:rsidRPr="002E2D4B" w:rsidRDefault="00DF1F2F" w:rsidP="00DF1F2F">
      <w:pPr>
        <w:pStyle w:val="ListParagraph"/>
        <w:numPr>
          <w:ilvl w:val="0"/>
          <w:numId w:val="5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Data will be reported as TCID</w:t>
      </w:r>
      <w:r w:rsidRPr="002E2D4B">
        <w:rPr>
          <w:rFonts w:ascii="Arial" w:hAnsi="Arial" w:cs="Arial"/>
          <w:sz w:val="20"/>
          <w:szCs w:val="20"/>
          <w:vertAlign w:val="subscript"/>
        </w:rPr>
        <w:t>50</w:t>
      </w:r>
      <w:r w:rsidRPr="002E2D4B">
        <w:rPr>
          <w:rFonts w:ascii="Arial" w:hAnsi="Arial" w:cs="Arial"/>
          <w:sz w:val="20"/>
          <w:szCs w:val="20"/>
        </w:rPr>
        <w:t>/mL as determined by the Reed-Muench method.</w:t>
      </w:r>
    </w:p>
    <w:p w14:paraId="01FCFE49" w14:textId="77777777" w:rsidR="00DF1F2F" w:rsidRPr="002E2D4B" w:rsidRDefault="00DF1F2F" w:rsidP="00DF1F2F">
      <w:pPr>
        <w:pStyle w:val="ListParagraph"/>
        <w:numPr>
          <w:ilvl w:val="0"/>
          <w:numId w:val="5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 xml:space="preserve">Each well will be </w:t>
      </w:r>
      <w:proofErr w:type="spellStart"/>
      <w:r w:rsidRPr="002E2D4B">
        <w:rPr>
          <w:rFonts w:ascii="Arial" w:hAnsi="Arial" w:cs="Arial"/>
          <w:sz w:val="20"/>
          <w:szCs w:val="20"/>
        </w:rPr>
        <w:t>titered</w:t>
      </w:r>
      <w:proofErr w:type="spellEnd"/>
      <w:r w:rsidRPr="002E2D4B">
        <w:rPr>
          <w:rFonts w:ascii="Arial" w:hAnsi="Arial" w:cs="Arial"/>
          <w:sz w:val="20"/>
          <w:szCs w:val="20"/>
        </w:rPr>
        <w:t xml:space="preserve"> in an 8</w:t>
      </w:r>
      <w:r>
        <w:rPr>
          <w:rFonts w:ascii="Arial" w:hAnsi="Arial" w:cs="Arial"/>
          <w:sz w:val="20"/>
          <w:szCs w:val="20"/>
        </w:rPr>
        <w:t>-</w:t>
      </w:r>
      <w:r w:rsidRPr="002E2D4B">
        <w:rPr>
          <w:rFonts w:ascii="Arial" w:hAnsi="Arial" w:cs="Arial"/>
          <w:sz w:val="20"/>
          <w:szCs w:val="20"/>
        </w:rPr>
        <w:t>point dilution series, from neat – 10</w:t>
      </w:r>
      <w:r w:rsidRPr="002E2D4B">
        <w:rPr>
          <w:rFonts w:ascii="Arial" w:hAnsi="Arial" w:cs="Arial"/>
          <w:sz w:val="20"/>
          <w:szCs w:val="20"/>
          <w:vertAlign w:val="superscript"/>
        </w:rPr>
        <w:t>-7</w:t>
      </w:r>
      <w:r w:rsidRPr="002E2D4B">
        <w:rPr>
          <w:rFonts w:ascii="Arial" w:hAnsi="Arial" w:cs="Arial"/>
          <w:sz w:val="20"/>
          <w:szCs w:val="20"/>
        </w:rPr>
        <w:t>.</w:t>
      </w:r>
    </w:p>
    <w:p w14:paraId="61B3D563" w14:textId="77777777" w:rsidR="00DF1F2F" w:rsidRPr="002E2D4B" w:rsidRDefault="00DF1F2F" w:rsidP="00DF1F2F">
      <w:pPr>
        <w:pStyle w:val="ListParagraph"/>
        <w:numPr>
          <w:ilvl w:val="0"/>
          <w:numId w:val="5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An Excel based spreadsheet containing viral titer will be provided at study conclusion.</w:t>
      </w:r>
    </w:p>
    <w:p w14:paraId="4B0E30E0" w14:textId="77777777" w:rsidR="00DF1F2F" w:rsidRPr="002E2D4B" w:rsidRDefault="00DF1F2F" w:rsidP="00DF1F2F">
      <w:pPr>
        <w:pStyle w:val="ListParagraph"/>
        <w:numPr>
          <w:ilvl w:val="0"/>
          <w:numId w:val="5"/>
        </w:numPr>
        <w:adjustRightInd w:val="0"/>
        <w:snapToGrid w:val="0"/>
        <w:spacing w:before="40" w:after="40"/>
        <w:ind w:left="540"/>
        <w:contextualSpacing w:val="0"/>
        <w:rPr>
          <w:rFonts w:ascii="Arial" w:hAnsi="Arial" w:cs="Arial"/>
          <w:sz w:val="20"/>
          <w:szCs w:val="20"/>
        </w:rPr>
      </w:pPr>
      <w:r w:rsidRPr="002E2D4B">
        <w:rPr>
          <w:rFonts w:ascii="Arial" w:hAnsi="Arial" w:cs="Arial"/>
          <w:sz w:val="20"/>
          <w:szCs w:val="20"/>
        </w:rPr>
        <w:t>Cytotoxicity or other host response measurements will not be assessed by the Virology Unit. It is highly recommended that the requesting party empirically determine cytotoxic effects before submission.</w:t>
      </w:r>
    </w:p>
    <w:p w14:paraId="04883FC8" w14:textId="77777777" w:rsidR="00DF1F2F" w:rsidRDefault="00DF1F2F" w:rsidP="00C14A74">
      <w:pPr>
        <w:pStyle w:val="ListParagraph"/>
        <w:adjustRightInd w:val="0"/>
        <w:snapToGrid w:val="0"/>
        <w:spacing w:before="40" w:after="40"/>
        <w:ind w:left="0"/>
        <w:contextualSpacing w:val="0"/>
        <w:rPr>
          <w:rFonts w:ascii="Arial" w:hAnsi="Arial" w:cs="Arial"/>
          <w:b/>
          <w:sz w:val="20"/>
          <w:szCs w:val="20"/>
          <w:u w:val="single"/>
        </w:rPr>
      </w:pPr>
    </w:p>
    <w:p w14:paraId="209BCEAF" w14:textId="1CC9CB48" w:rsidR="004009D3" w:rsidRDefault="00AA567C" w:rsidP="00C14A74">
      <w:pPr>
        <w:pStyle w:val="ListParagraph"/>
        <w:adjustRightInd w:val="0"/>
        <w:snapToGrid w:val="0"/>
        <w:spacing w:before="40" w:after="40"/>
        <w:ind w:left="0"/>
        <w:contextualSpacing w:val="0"/>
        <w:rPr>
          <w:rFonts w:ascii="Arial" w:hAnsi="Arial" w:cs="Arial"/>
          <w:b/>
          <w:noProof/>
          <w:sz w:val="20"/>
          <w:szCs w:val="20"/>
        </w:rPr>
      </w:pPr>
      <w:r w:rsidRPr="004009D3">
        <w:rPr>
          <w:rFonts w:ascii="Arial" w:hAnsi="Arial" w:cs="Arial"/>
          <w:b/>
          <w:sz w:val="20"/>
          <w:szCs w:val="20"/>
          <w:u w:val="single"/>
        </w:rPr>
        <w:t>Example</w:t>
      </w:r>
      <w:r w:rsidR="00C14A74" w:rsidRPr="004009D3">
        <w:rPr>
          <w:rFonts w:ascii="Arial" w:hAnsi="Arial" w:cs="Arial"/>
          <w:b/>
          <w:sz w:val="20"/>
          <w:szCs w:val="20"/>
          <w:u w:val="single"/>
        </w:rPr>
        <w:t xml:space="preserve"> Experimental Setup:</w:t>
      </w:r>
    </w:p>
    <w:p w14:paraId="23DEA01F" w14:textId="16ED1719" w:rsidR="00C14A74" w:rsidRPr="002E2D4B" w:rsidRDefault="00C14A74" w:rsidP="00C14A74">
      <w:pPr>
        <w:pStyle w:val="ListParagraph"/>
        <w:adjustRightInd w:val="0"/>
        <w:snapToGrid w:val="0"/>
        <w:spacing w:before="40" w:after="40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2E2D4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A1B54B3" wp14:editId="358D49D2">
            <wp:extent cx="4681139" cy="20116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39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479D" w14:textId="3800A6BB" w:rsidR="008448A7" w:rsidRDefault="008448A7" w:rsidP="00DE55CD">
      <w:pPr>
        <w:tabs>
          <w:tab w:val="left" w:pos="1260"/>
        </w:tabs>
        <w:adjustRightInd w:val="0"/>
        <w:snapToGrid w:val="0"/>
        <w:spacing w:beforeLines="40" w:before="96" w:afterLines="40" w:after="96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8448A7" w:rsidSect="006708E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FD8B" w14:textId="77777777" w:rsidR="001443BD" w:rsidRDefault="001443BD" w:rsidP="007048F2">
      <w:pPr>
        <w:spacing w:after="0" w:line="240" w:lineRule="auto"/>
      </w:pPr>
      <w:r>
        <w:separator/>
      </w:r>
    </w:p>
  </w:endnote>
  <w:endnote w:type="continuationSeparator" w:id="0">
    <w:p w14:paraId="33730608" w14:textId="77777777" w:rsidR="001443BD" w:rsidRDefault="001443BD" w:rsidP="0070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6399" w14:textId="38483C89" w:rsidR="00FE131A" w:rsidRPr="00FE131A" w:rsidRDefault="00FE131A">
    <w:pPr>
      <w:pStyle w:val="Footer"/>
      <w:rPr>
        <w:rFonts w:ascii="Arial" w:hAnsi="Arial" w:cs="Arial"/>
        <w:sz w:val="16"/>
        <w:szCs w:val="16"/>
      </w:rPr>
    </w:pPr>
    <w:r>
      <w:rPr>
        <w:rFonts w:ascii="Times New Roman" w:hAnsi="Times New Roman"/>
      </w:rPr>
      <w:tab/>
    </w:r>
    <w:r w:rsidRPr="00FE131A">
      <w:rPr>
        <w:rFonts w:ascii="Arial" w:hAnsi="Arial" w:cs="Arial"/>
        <w:sz w:val="16"/>
        <w:szCs w:val="16"/>
      </w:rPr>
      <w:t xml:space="preserve">- </w:t>
    </w:r>
    <w:r w:rsidRPr="00FE131A">
      <w:rPr>
        <w:rFonts w:ascii="Arial" w:hAnsi="Arial" w:cs="Arial"/>
        <w:sz w:val="16"/>
        <w:szCs w:val="16"/>
      </w:rPr>
      <w:fldChar w:fldCharType="begin"/>
    </w:r>
    <w:r w:rsidRPr="00FE131A">
      <w:rPr>
        <w:rFonts w:ascii="Arial" w:hAnsi="Arial" w:cs="Arial"/>
        <w:sz w:val="16"/>
        <w:szCs w:val="16"/>
      </w:rPr>
      <w:instrText xml:space="preserve"> PAGE </w:instrText>
    </w:r>
    <w:r w:rsidRPr="00FE131A">
      <w:rPr>
        <w:rFonts w:ascii="Arial" w:hAnsi="Arial" w:cs="Arial"/>
        <w:sz w:val="16"/>
        <w:szCs w:val="16"/>
      </w:rPr>
      <w:fldChar w:fldCharType="separate"/>
    </w:r>
    <w:r w:rsidRPr="00FE131A">
      <w:rPr>
        <w:rFonts w:ascii="Arial" w:hAnsi="Arial" w:cs="Arial"/>
        <w:noProof/>
        <w:sz w:val="16"/>
        <w:szCs w:val="16"/>
      </w:rPr>
      <w:t>2</w:t>
    </w:r>
    <w:r w:rsidRPr="00FE131A">
      <w:rPr>
        <w:rFonts w:ascii="Arial" w:hAnsi="Arial" w:cs="Arial"/>
        <w:sz w:val="16"/>
        <w:szCs w:val="16"/>
      </w:rPr>
      <w:fldChar w:fldCharType="end"/>
    </w:r>
    <w:r w:rsidRPr="00FE131A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1E1E" w14:textId="54E365FF" w:rsidR="006708E4" w:rsidRPr="006708E4" w:rsidRDefault="006708E4">
    <w:pPr>
      <w:pStyle w:val="Footer"/>
      <w:rPr>
        <w:rFonts w:ascii="Arial" w:hAnsi="Arial" w:cs="Arial"/>
      </w:rPr>
    </w:pPr>
    <w:r w:rsidRPr="006708E4">
      <w:rPr>
        <w:rStyle w:val="PageNumber"/>
        <w:rFonts w:ascii="Times New Roman" w:hAnsi="Times New Roman" w:cs="Arial"/>
        <w:sz w:val="16"/>
        <w:szCs w:val="16"/>
      </w:rPr>
      <w:tab/>
    </w:r>
    <w:r w:rsidRPr="006708E4">
      <w:rPr>
        <w:rStyle w:val="PageNumber"/>
        <w:rFonts w:ascii="Arial" w:hAnsi="Arial" w:cs="Arial"/>
        <w:sz w:val="16"/>
        <w:szCs w:val="16"/>
      </w:rPr>
      <w:t xml:space="preserve">- </w:t>
    </w:r>
    <w:r w:rsidRPr="006708E4">
      <w:rPr>
        <w:rStyle w:val="PageNumber"/>
        <w:rFonts w:ascii="Arial" w:hAnsi="Arial" w:cs="Arial"/>
        <w:sz w:val="16"/>
        <w:szCs w:val="16"/>
      </w:rPr>
      <w:fldChar w:fldCharType="begin"/>
    </w:r>
    <w:r w:rsidRPr="006708E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708E4">
      <w:rPr>
        <w:rStyle w:val="PageNumber"/>
        <w:rFonts w:ascii="Arial" w:hAnsi="Arial" w:cs="Arial"/>
        <w:sz w:val="16"/>
        <w:szCs w:val="16"/>
      </w:rPr>
      <w:fldChar w:fldCharType="separate"/>
    </w:r>
    <w:r w:rsidRPr="006708E4">
      <w:rPr>
        <w:rStyle w:val="PageNumber"/>
        <w:rFonts w:ascii="Arial" w:hAnsi="Arial" w:cs="Arial"/>
        <w:noProof/>
        <w:sz w:val="16"/>
        <w:szCs w:val="16"/>
      </w:rPr>
      <w:t>1</w:t>
    </w:r>
    <w:r w:rsidRPr="006708E4">
      <w:rPr>
        <w:rStyle w:val="PageNumber"/>
        <w:rFonts w:ascii="Arial" w:hAnsi="Arial" w:cs="Arial"/>
        <w:sz w:val="16"/>
        <w:szCs w:val="16"/>
      </w:rPr>
      <w:fldChar w:fldCharType="end"/>
    </w:r>
    <w:r w:rsidRPr="006708E4">
      <w:rPr>
        <w:rStyle w:val="PageNumber"/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E690" w14:textId="77777777" w:rsidR="001443BD" w:rsidRDefault="001443BD" w:rsidP="007048F2">
      <w:pPr>
        <w:spacing w:after="0" w:line="240" w:lineRule="auto"/>
      </w:pPr>
      <w:r>
        <w:separator/>
      </w:r>
    </w:p>
  </w:footnote>
  <w:footnote w:type="continuationSeparator" w:id="0">
    <w:p w14:paraId="53990D6F" w14:textId="77777777" w:rsidR="001443BD" w:rsidRDefault="001443BD" w:rsidP="0070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46A8" w14:textId="22CE46E6" w:rsidR="00C47278" w:rsidRPr="000E10F1" w:rsidRDefault="000E10F1" w:rsidP="000E10F1">
    <w:pPr>
      <w:pStyle w:val="Header"/>
      <w:pBdr>
        <w:bottom w:val="single" w:sz="4" w:space="1" w:color="auto"/>
      </w:pBdr>
      <w:rPr>
        <w:i/>
        <w:iCs/>
        <w:sz w:val="16"/>
        <w:szCs w:val="16"/>
      </w:rPr>
    </w:pPr>
    <w:r w:rsidRPr="000E10F1">
      <w:rPr>
        <w:rFonts w:ascii="Arial" w:hAnsi="Arial" w:cs="Arial"/>
        <w:i/>
        <w:iCs/>
        <w:sz w:val="16"/>
        <w:szCs w:val="16"/>
      </w:rPr>
      <w:t>SARS-CoV-2 In Vitro Anti-viral Compound Testing Service Request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EBE9" w14:textId="77777777" w:rsidR="00C47278" w:rsidRDefault="00C47278" w:rsidP="00C47278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2EF8729D" wp14:editId="4D076169">
          <wp:extent cx="1447800" cy="4590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L units_Viro color horizontal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0" t="30846" r="4288" b="33092"/>
                  <a:stretch/>
                </pic:blipFill>
                <pic:spPr bwMode="auto">
                  <a:xfrm>
                    <a:off x="0" y="0"/>
                    <a:ext cx="1515426" cy="480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709124" w14:textId="56F9C886" w:rsidR="00C333DE" w:rsidRPr="00C47278" w:rsidRDefault="00C333DE" w:rsidP="00DE55CD">
    <w:pPr>
      <w:pBdr>
        <w:bottom w:val="single" w:sz="4" w:space="1" w:color="auto"/>
      </w:pBdr>
      <w:adjustRightInd w:val="0"/>
      <w:snapToGri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Global Health Research Building – 909 S. LaSalle St., Durham, NC, 27712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DB7"/>
    <w:multiLevelType w:val="hybridMultilevel"/>
    <w:tmpl w:val="B46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58A"/>
    <w:multiLevelType w:val="hybridMultilevel"/>
    <w:tmpl w:val="A09AD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B3497"/>
    <w:multiLevelType w:val="hybridMultilevel"/>
    <w:tmpl w:val="A49E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B18D9"/>
    <w:multiLevelType w:val="hybridMultilevel"/>
    <w:tmpl w:val="C602D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23DDC"/>
    <w:multiLevelType w:val="hybridMultilevel"/>
    <w:tmpl w:val="AE604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607F1"/>
    <w:multiLevelType w:val="hybridMultilevel"/>
    <w:tmpl w:val="C89C7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6124B"/>
    <w:multiLevelType w:val="multilevel"/>
    <w:tmpl w:val="621E89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01D5332"/>
    <w:multiLevelType w:val="hybridMultilevel"/>
    <w:tmpl w:val="EB26B2D2"/>
    <w:lvl w:ilvl="0" w:tplc="D24E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E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0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0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C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29"/>
    <w:rsid w:val="000003B8"/>
    <w:rsid w:val="00026E92"/>
    <w:rsid w:val="00061B11"/>
    <w:rsid w:val="000E10F1"/>
    <w:rsid w:val="00135E27"/>
    <w:rsid w:val="0014306A"/>
    <w:rsid w:val="001443BD"/>
    <w:rsid w:val="00160CC2"/>
    <w:rsid w:val="0017133F"/>
    <w:rsid w:val="00181F83"/>
    <w:rsid w:val="001B7CD9"/>
    <w:rsid w:val="001D17F3"/>
    <w:rsid w:val="00203EB5"/>
    <w:rsid w:val="00242F67"/>
    <w:rsid w:val="002B74DF"/>
    <w:rsid w:val="002E2D4B"/>
    <w:rsid w:val="003413F0"/>
    <w:rsid w:val="003E2B4F"/>
    <w:rsid w:val="004009D3"/>
    <w:rsid w:val="004500E8"/>
    <w:rsid w:val="004B18FC"/>
    <w:rsid w:val="005277BE"/>
    <w:rsid w:val="00536ED8"/>
    <w:rsid w:val="00540CBE"/>
    <w:rsid w:val="00576B57"/>
    <w:rsid w:val="005D16B0"/>
    <w:rsid w:val="006527A9"/>
    <w:rsid w:val="006708E4"/>
    <w:rsid w:val="006A0F87"/>
    <w:rsid w:val="006D5B8C"/>
    <w:rsid w:val="007048F2"/>
    <w:rsid w:val="007371E6"/>
    <w:rsid w:val="007C4C42"/>
    <w:rsid w:val="007F7E61"/>
    <w:rsid w:val="008448A7"/>
    <w:rsid w:val="008E5510"/>
    <w:rsid w:val="008F5729"/>
    <w:rsid w:val="00903F67"/>
    <w:rsid w:val="009B47FB"/>
    <w:rsid w:val="009F4AC2"/>
    <w:rsid w:val="00A314E4"/>
    <w:rsid w:val="00A53815"/>
    <w:rsid w:val="00AA567C"/>
    <w:rsid w:val="00AB77A5"/>
    <w:rsid w:val="00B346FC"/>
    <w:rsid w:val="00B52947"/>
    <w:rsid w:val="00B87D0D"/>
    <w:rsid w:val="00B903B4"/>
    <w:rsid w:val="00BE4308"/>
    <w:rsid w:val="00C14A74"/>
    <w:rsid w:val="00C260EB"/>
    <w:rsid w:val="00C333DE"/>
    <w:rsid w:val="00C47278"/>
    <w:rsid w:val="00CB7E36"/>
    <w:rsid w:val="00CE1D10"/>
    <w:rsid w:val="00CE5B91"/>
    <w:rsid w:val="00DA2741"/>
    <w:rsid w:val="00DE55CD"/>
    <w:rsid w:val="00DF1F2F"/>
    <w:rsid w:val="00E75D83"/>
    <w:rsid w:val="00F05FC7"/>
    <w:rsid w:val="00FE131A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6AB9"/>
  <w15:chartTrackingRefBased/>
  <w15:docId w15:val="{CE2E8F9A-15E4-46C4-962F-06BBFE3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2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F2"/>
  </w:style>
  <w:style w:type="paragraph" w:styleId="Footer">
    <w:name w:val="footer"/>
    <w:basedOn w:val="Normal"/>
    <w:link w:val="FooterChar"/>
    <w:uiPriority w:val="99"/>
    <w:unhideWhenUsed/>
    <w:rsid w:val="0070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F2"/>
  </w:style>
  <w:style w:type="character" w:styleId="Hyperlink">
    <w:name w:val="Hyperlink"/>
    <w:basedOn w:val="DefaultParagraphFont"/>
    <w:uiPriority w:val="99"/>
    <w:unhideWhenUsed/>
    <w:rsid w:val="00C33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3D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708E4"/>
  </w:style>
  <w:style w:type="paragraph" w:styleId="BalloonText">
    <w:name w:val="Balloon Text"/>
    <w:basedOn w:val="Normal"/>
    <w:link w:val="BalloonTextChar"/>
    <w:uiPriority w:val="99"/>
    <w:semiHidden/>
    <w:unhideWhenUsed/>
    <w:rsid w:val="002E2D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2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293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9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oguin@duk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Oguin III, Ph.D.</dc:creator>
  <cp:keywords/>
  <dc:description/>
  <cp:lastModifiedBy>Gregory Sempowski</cp:lastModifiedBy>
  <cp:revision>25</cp:revision>
  <cp:lastPrinted>2020-05-22T15:51:00Z</cp:lastPrinted>
  <dcterms:created xsi:type="dcterms:W3CDTF">2020-05-22T15:05:00Z</dcterms:created>
  <dcterms:modified xsi:type="dcterms:W3CDTF">2020-05-26T17:54:00Z</dcterms:modified>
</cp:coreProperties>
</file>